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theme+xml" PartName="/word/theme/theme1.xml"/>
  <Override ContentType="application/vnd.openxmlformats-officedocument.wordprocessingml.settings+xml" PartName="/word/settings.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Draft notes of a Bridge Neighbourhood Committee Meeting with Charlie Gooch of Cantley Ltd</w:t>
      </w:r>
    </w:p>
    <w:p w:rsidR="00000000" w:rsidDel="00000000" w:rsidP="00000000" w:rsidRDefault="00000000" w:rsidRPr="00000000" w14:paraId="00000001">
      <w:pPr>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Tuesday 20 March 2018</w:t>
      </w:r>
    </w:p>
    <w:p w:rsidR="00000000" w:rsidDel="00000000" w:rsidP="00000000" w:rsidRDefault="00000000" w:rsidRPr="00000000" w14:paraId="00000002">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Present:</w:t>
      </w:r>
      <w:r w:rsidDel="00000000" w:rsidR="00000000" w:rsidRPr="00000000">
        <w:rPr>
          <w:rFonts w:ascii="Times New Roman" w:cs="Times New Roman" w:eastAsia="Times New Roman" w:hAnsi="Times New Roman"/>
          <w:sz w:val="24"/>
          <w:szCs w:val="24"/>
          <w:rtl w:val="0"/>
        </w:rPr>
        <w:t xml:space="preserve"> Cllr A Atkinson, Philip Wicker (Clerk), John Hill and Charlie Gooch (CG)</w:t>
      </w:r>
    </w:p>
    <w:p w:rsidR="00000000" w:rsidDel="00000000" w:rsidP="00000000" w:rsidRDefault="00000000" w:rsidRPr="00000000" w14:paraId="00000003">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Neighbourhood Plan Committee asked for the meeting to discuss the status of the land to be offered for the purposes of building a village hall.</w:t>
      </w:r>
    </w:p>
    <w:p w:rsidR="00000000" w:rsidDel="00000000" w:rsidP="00000000" w:rsidRDefault="00000000" w:rsidRPr="00000000" w14:paraId="00000004">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CG fed back on a recent meeting with primary school representatives.    The details of the Cantley plans may be altered during the regulation 14 consultation period to alleviate some of the school’s concerns about the potential safety of access for the children.  CG also confirmed that Cantley Ltd are fully in support of the actions he has taken with the regard to the plans for the development and that an agreed response from Cantley will be made to the regulation 14 consultation.</w:t>
      </w:r>
    </w:p>
    <w:p w:rsidR="00000000" w:rsidDel="00000000" w:rsidP="00000000" w:rsidRDefault="00000000" w:rsidRPr="00000000" w14:paraId="00000005">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issue of the status of land gifted to the parish council for the purposes of building a village hall will be clarified well before the referendum and will form part of the overall settlement for the village which would be agreed once planning permission for the proposed housing development has been obtained.</w:t>
      </w:r>
    </w:p>
    <w:p w:rsidR="00000000" w:rsidDel="00000000" w:rsidP="00000000" w:rsidRDefault="00000000" w:rsidRPr="00000000" w14:paraId="00000006">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CG also updated the meeting on the nature and scale of archaeological surveys to be conducted on the proposed housing development site.</w:t>
      </w:r>
    </w:p>
    <w:p w:rsidR="00000000" w:rsidDel="00000000" w:rsidP="00000000" w:rsidRDefault="00000000" w:rsidRPr="00000000" w14:paraId="00000007">
      <w:pPr>
        <w:contextualSpacing w:val="0"/>
        <w:jc w:val="both"/>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The proposed business park may well have a winery contained within it.  There are likely to be a number of developers who would be interested in working with Cantley to make the proposed housing development a reality.</w:t>
      </w:r>
    </w:p>
    <w:p w:rsidR="00000000" w:rsidDel="00000000" w:rsidP="00000000" w:rsidRDefault="00000000" w:rsidRPr="00000000" w14:paraId="00000008">
      <w:pPr>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meeting lasted from 11 am - 12.02 p.m.</w:t>
      </w:r>
    </w:p>
    <w:p w:rsidR="00000000" w:rsidDel="00000000" w:rsidP="00000000" w:rsidRDefault="00000000" w:rsidRPr="00000000" w14:paraId="00000009">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b w:val="0"/>
        <w:i w:val="0"/>
        <w:smallCaps w:val="0"/>
        <w:strike w:val="0"/>
        <w:color w:val="000000"/>
        <w:sz w:val="22"/>
        <w:szCs w:val="22"/>
        <w:u w:val="none"/>
        <w:shd w:fill="auto" w:val="clear"/>
        <w:vertAlign w:val="baseline"/>
        <w:lang w:val="en-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lang w:val="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B94377"/>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3" Type="http://schemas.openxmlformats.org/officeDocument/2006/relationships/fontTable" Target="fontTable.xml"/><Relationship Id="rId5" Type="http://schemas.openxmlformats.org/officeDocument/2006/relationships/styles" Target="styles.xml"/><Relationship Id="rId4" Type="http://schemas.openxmlformats.org/officeDocument/2006/relationships/numbering" Target="numbering.xml"/><Relationship Id="rId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